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0" w:type="auto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6"/>
        <w:gridCol w:w="837"/>
        <w:gridCol w:w="6999"/>
      </w:tblGrid>
      <w:tr w14:paraId="64B65D7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686" w:type="dxa"/>
            <w:vAlign w:val="top"/>
          </w:tcPr>
          <w:p w14:paraId="558552FB">
            <w:pPr>
              <w:pStyle w:val="5"/>
            </w:pPr>
            <w:r>
              <w:rPr>
                <w:rFonts w:ascii="仿宋_GB2312" w:hAnsi="仿宋_GB2312" w:eastAsia="仿宋_GB2312" w:cs="仿宋_GB2312"/>
              </w:rPr>
              <w:t xml:space="preserve"> 序号</w:t>
            </w:r>
          </w:p>
        </w:tc>
        <w:tc>
          <w:tcPr>
            <w:tcW w:w="837" w:type="dxa"/>
            <w:vAlign w:val="top"/>
          </w:tcPr>
          <w:p w14:paraId="0A58E330">
            <w:pPr>
              <w:pStyle w:val="5"/>
            </w:pPr>
            <w:r>
              <w:rPr>
                <w:rFonts w:ascii="仿宋_GB2312" w:hAnsi="仿宋_GB2312" w:eastAsia="仿宋_GB2312" w:cs="仿宋_GB2312"/>
              </w:rPr>
              <w:t xml:space="preserve"> 参数性质</w:t>
            </w:r>
          </w:p>
        </w:tc>
        <w:tc>
          <w:tcPr>
            <w:tcW w:w="6999" w:type="dxa"/>
            <w:vAlign w:val="top"/>
          </w:tcPr>
          <w:p w14:paraId="32324338">
            <w:pPr>
              <w:pStyle w:val="5"/>
            </w:pPr>
            <w:r>
              <w:rPr>
                <w:rFonts w:ascii="仿宋_GB2312" w:hAnsi="仿宋_GB2312" w:eastAsia="仿宋_GB2312" w:cs="仿宋_GB2312"/>
              </w:rPr>
              <w:t xml:space="preserve"> 技术参数与性能指标</w:t>
            </w:r>
          </w:p>
        </w:tc>
      </w:tr>
      <w:tr w14:paraId="69EBE73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686" w:type="dxa"/>
            <w:vAlign w:val="top"/>
          </w:tcPr>
          <w:p w14:paraId="3B3E3FCB">
            <w:pPr>
              <w:pStyle w:val="5"/>
            </w:pPr>
            <w:r>
              <w:rPr>
                <w:rFonts w:ascii="仿宋_GB2312" w:hAnsi="仿宋_GB2312" w:eastAsia="仿宋_GB2312" w:cs="仿宋_GB2312"/>
              </w:rPr>
              <w:t>1</w:t>
            </w:r>
          </w:p>
        </w:tc>
        <w:tc>
          <w:tcPr>
            <w:tcW w:w="837" w:type="dxa"/>
            <w:vAlign w:val="top"/>
          </w:tcPr>
          <w:p w14:paraId="226FDC8A"/>
        </w:tc>
        <w:tc>
          <w:tcPr>
            <w:tcW w:w="6999" w:type="dxa"/>
            <w:vAlign w:val="top"/>
          </w:tcPr>
          <w:tbl>
            <w:tblPr>
              <w:tblStyle w:val="3"/>
              <w:tblW w:w="0" w:type="auto"/>
              <w:tblInd w:w="90" w:type="dxa"/>
              <w:tblBorders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insideH w:val="none" w:color="auto" w:sz="0" w:space="0"/>
                <w:insideV w:val="none" w:color="auto" w:sz="0" w:space="0"/>
              </w:tblBorders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450"/>
              <w:gridCol w:w="1243"/>
              <w:gridCol w:w="450"/>
              <w:gridCol w:w="450"/>
              <w:gridCol w:w="4095"/>
            </w:tblGrid>
            <w:tr w14:paraId="49E26983">
              <w:tblPrEx>
                <w:tblBorders>
                  <w:top w:val="none" w:color="000000" w:sz="4" w:space="0"/>
                  <w:left w:val="none" w:color="000000" w:sz="4" w:space="0"/>
                  <w:bottom w:val="none" w:color="000000" w:sz="4" w:space="0"/>
                  <w:right w:val="none" w:color="000000" w:sz="4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top"/>
                </w:tcPr>
                <w:p w14:paraId="78B05E7A">
                  <w:pPr>
                    <w:pStyle w:val="5"/>
                    <w:jc w:val="center"/>
                  </w:pPr>
                  <w:r>
                    <w:rPr>
                      <w:rFonts w:ascii="仿宋_GB2312" w:hAnsi="仿宋_GB2312" w:eastAsia="仿宋_GB2312" w:cs="仿宋_GB2312"/>
                      <w:b/>
                      <w:color w:val="000000"/>
                      <w:sz w:val="22"/>
                    </w:rPr>
                    <w:t>序号</w:t>
                  </w: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nil"/>
                    <w:bottom w:val="single" w:color="000000" w:sz="4" w:space="0"/>
                    <w:right w:val="single" w:color="000000" w:sz="4" w:space="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top"/>
                </w:tcPr>
                <w:p w14:paraId="5190756D">
                  <w:pPr>
                    <w:pStyle w:val="5"/>
                    <w:jc w:val="center"/>
                  </w:pPr>
                  <w:r>
                    <w:rPr>
                      <w:rFonts w:ascii="仿宋_GB2312" w:hAnsi="仿宋_GB2312" w:eastAsia="仿宋_GB2312" w:cs="仿宋_GB2312"/>
                      <w:b/>
                      <w:color w:val="000000"/>
                      <w:sz w:val="22"/>
                    </w:rPr>
                    <w:t>标的名称</w:t>
                  </w: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nil"/>
                    <w:bottom w:val="single" w:color="000000" w:sz="4" w:space="0"/>
                    <w:right w:val="single" w:color="000000" w:sz="4" w:space="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top"/>
                </w:tcPr>
                <w:p w14:paraId="0FB3EAC6">
                  <w:pPr>
                    <w:pStyle w:val="5"/>
                    <w:jc w:val="center"/>
                  </w:pPr>
                  <w:r>
                    <w:rPr>
                      <w:rFonts w:ascii="仿宋_GB2312" w:hAnsi="仿宋_GB2312" w:eastAsia="仿宋_GB2312" w:cs="仿宋_GB2312"/>
                      <w:b/>
                      <w:color w:val="000000"/>
                      <w:sz w:val="22"/>
                    </w:rPr>
                    <w:t>采购</w:t>
                  </w:r>
                  <w:r>
                    <w:br w:type="textWrapping"/>
                  </w:r>
                  <w:r>
                    <w:rPr>
                      <w:rFonts w:ascii="仿宋_GB2312" w:hAnsi="仿宋_GB2312" w:eastAsia="仿宋_GB2312" w:cs="仿宋_GB2312"/>
                      <w:b/>
                      <w:color w:val="000000"/>
                      <w:sz w:val="22"/>
                    </w:rPr>
                    <w:t>数量</w:t>
                  </w: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nil"/>
                    <w:bottom w:val="single" w:color="000000" w:sz="4" w:space="0"/>
                    <w:right w:val="single" w:color="000000" w:sz="4" w:space="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top"/>
                </w:tcPr>
                <w:p w14:paraId="3E664FFB">
                  <w:pPr>
                    <w:pStyle w:val="5"/>
                    <w:jc w:val="center"/>
                  </w:pPr>
                  <w:r>
                    <w:rPr>
                      <w:rFonts w:ascii="仿宋_GB2312" w:hAnsi="仿宋_GB2312" w:eastAsia="仿宋_GB2312" w:cs="仿宋_GB2312"/>
                      <w:b/>
                      <w:color w:val="000000"/>
                      <w:sz w:val="22"/>
                    </w:rPr>
                    <w:t>计量</w:t>
                  </w:r>
                  <w:r>
                    <w:br w:type="textWrapping"/>
                  </w:r>
                  <w:r>
                    <w:rPr>
                      <w:rFonts w:ascii="仿宋_GB2312" w:hAnsi="仿宋_GB2312" w:eastAsia="仿宋_GB2312" w:cs="仿宋_GB2312"/>
                      <w:b/>
                      <w:color w:val="000000"/>
                      <w:sz w:val="22"/>
                    </w:rPr>
                    <w:t>单位</w:t>
                  </w: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nil"/>
                    <w:bottom w:val="single" w:color="000000" w:sz="4" w:space="0"/>
                    <w:right w:val="single" w:color="000000" w:sz="4" w:space="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top"/>
                </w:tcPr>
                <w:p w14:paraId="29636369">
                  <w:pPr>
                    <w:pStyle w:val="5"/>
                    <w:jc w:val="center"/>
                  </w:pPr>
                  <w:r>
                    <w:rPr>
                      <w:rFonts w:ascii="仿宋_GB2312" w:hAnsi="仿宋_GB2312" w:eastAsia="仿宋_GB2312" w:cs="仿宋_GB2312"/>
                      <w:b/>
                      <w:color w:val="000000"/>
                      <w:sz w:val="22"/>
                    </w:rPr>
                    <w:t>技术参数</w:t>
                  </w:r>
                </w:p>
              </w:tc>
            </w:tr>
            <w:tr w14:paraId="4F277EC4">
              <w:tblPrEx>
                <w:tblBorders>
                  <w:top w:val="none" w:color="000000" w:sz="4" w:space="0"/>
                  <w:left w:val="none" w:color="000000" w:sz="4" w:space="0"/>
                  <w:bottom w:val="none" w:color="000000" w:sz="4" w:space="0"/>
                  <w:right w:val="none" w:color="000000" w:sz="4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848" w:hRule="atLeast"/>
              </w:trPr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top"/>
                </w:tcPr>
                <w:p w14:paraId="18B52E32">
                  <w:pPr>
                    <w:pStyle w:val="5"/>
                    <w:jc w:val="center"/>
                  </w:pPr>
                  <w:r>
                    <w:rPr>
                      <w:rFonts w:ascii="仿宋_GB2312" w:hAnsi="仿宋_GB2312" w:eastAsia="仿宋_GB2312" w:cs="仿宋_GB2312"/>
                      <w:color w:val="000000"/>
                      <w:sz w:val="22"/>
                    </w:rPr>
                    <w:t>1</w:t>
                  </w:r>
                </w:p>
              </w:tc>
              <w:tc>
                <w:tcPr>
                  <w:tcW w:w="0" w:type="auto"/>
                  <w:gridSpan w:val="4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top"/>
                </w:tcPr>
                <w:p w14:paraId="37F56BA8">
                  <w:pPr>
                    <w:pStyle w:val="5"/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00" w:lineRule="exact"/>
                    <w:textAlignment w:val="auto"/>
                    <w:rPr>
                      <w:rFonts w:hint="eastAsia" w:ascii="仿宋_GB2312" w:hAnsi="仿宋_GB2312" w:cs="仿宋_GB2312" w:eastAsiaTheme="minorEastAsia"/>
                      <w:lang w:val="en-US" w:eastAsia="zh-CN"/>
                    </w:rPr>
                  </w:pPr>
                  <w:r>
                    <w:rPr>
                      <w:rFonts w:hint="default" w:ascii="仿宋_GB2312" w:hAnsi="仿宋_GB2312" w:eastAsia="仿宋_GB2312" w:cs="仿宋_GB2312"/>
                      <w:lang w:val="en-US" w:eastAsia="zh-CN"/>
                    </w:rPr>
                    <w:t>微机控制电液伺服万能试验机实训系统主要功能涵盖对金属、非金属等材料进行拉伸、压缩、弯曲等力学性能试验，</w:t>
                  </w:r>
                  <w:r>
                    <w:rPr>
                      <w:rFonts w:hint="eastAsia" w:ascii="仿宋_GB2312" w:hAnsi="仿宋_GB2312" w:eastAsia="仿宋_GB2312" w:cs="仿宋_GB2312"/>
                      <w:lang w:val="en-US" w:eastAsia="zh-CN"/>
                    </w:rPr>
                    <w:t>配套</w:t>
                  </w:r>
                  <w:r>
                    <w:rPr>
                      <w:rFonts w:hint="default" w:ascii="仿宋_GB2312" w:hAnsi="仿宋_GB2312" w:eastAsia="仿宋_GB2312" w:cs="仿宋_GB2312"/>
                      <w:lang w:val="en-US" w:eastAsia="zh-CN"/>
                    </w:rPr>
                    <w:t>实现数据自动采集</w:t>
                  </w:r>
                  <w:r>
                    <w:rPr>
                      <w:rFonts w:hint="eastAsia" w:ascii="仿宋_GB2312" w:hAnsi="仿宋_GB2312" w:eastAsia="仿宋_GB2312" w:cs="仿宋_GB2312"/>
                      <w:lang w:val="en-US" w:eastAsia="zh-CN"/>
                    </w:rPr>
                    <w:t>的计算机</w:t>
                  </w:r>
                  <w:r>
                    <w:rPr>
                      <w:rFonts w:hint="default" w:ascii="仿宋_GB2312" w:hAnsi="仿宋_GB2312" w:eastAsia="仿宋_GB2312" w:cs="仿宋_GB2312"/>
                      <w:lang w:val="en-US" w:eastAsia="zh-CN"/>
                    </w:rPr>
                    <w:t>，</w:t>
                  </w:r>
                  <w:r>
                    <w:rPr>
                      <w:rFonts w:hint="eastAsia" w:ascii="仿宋_GB2312" w:hAnsi="仿宋_GB2312" w:eastAsia="仿宋_GB2312" w:cs="仿宋_GB2312"/>
                      <w:lang w:val="en-US" w:eastAsia="zh-CN"/>
                    </w:rPr>
                    <w:t>能够完成数据采集和储存，</w:t>
                  </w:r>
                  <w:r>
                    <w:rPr>
                      <w:rFonts w:hint="default" w:ascii="仿宋_GB2312" w:hAnsi="仿宋_GB2312" w:eastAsia="仿宋_GB2312" w:cs="仿宋_GB2312"/>
                      <w:lang w:val="en-US" w:eastAsia="zh-CN"/>
                    </w:rPr>
                    <w:t>应力</w:t>
                  </w:r>
                  <w:r>
                    <w:rPr>
                      <w:rFonts w:hint="eastAsia" w:ascii="仿宋_GB2312" w:hAnsi="仿宋_GB2312" w:eastAsia="仿宋_GB2312" w:cs="仿宋_GB2312"/>
                      <w:lang w:val="en-US" w:eastAsia="zh-CN"/>
                    </w:rPr>
                    <w:t>-</w:t>
                  </w:r>
                  <w:r>
                    <w:rPr>
                      <w:rFonts w:hint="default" w:ascii="仿宋_GB2312" w:hAnsi="仿宋_GB2312" w:eastAsia="仿宋_GB2312" w:cs="仿宋_GB2312"/>
                      <w:lang w:val="en-US" w:eastAsia="zh-CN"/>
                    </w:rPr>
                    <w:t>应变曲线</w:t>
                  </w:r>
                  <w:r>
                    <w:rPr>
                      <w:rFonts w:hint="eastAsia" w:ascii="仿宋_GB2312" w:hAnsi="仿宋_GB2312" w:eastAsia="仿宋_GB2312" w:cs="仿宋_GB2312"/>
                      <w:lang w:val="en-US" w:eastAsia="zh-CN"/>
                    </w:rPr>
                    <w:t>绘制，统计分析</w:t>
                  </w:r>
                  <w:r>
                    <w:rPr>
                      <w:rFonts w:hint="default" w:ascii="仿宋_GB2312" w:hAnsi="仿宋_GB2312" w:eastAsia="仿宋_GB2312" w:cs="仿宋_GB2312"/>
                      <w:lang w:val="en-US" w:eastAsia="zh-CN"/>
                    </w:rPr>
                    <w:t>各类力学指标</w:t>
                  </w:r>
                  <w:r>
                    <w:rPr>
                      <w:rFonts w:hint="eastAsia" w:ascii="仿宋_GB2312" w:hAnsi="仿宋_GB2312" w:eastAsia="仿宋_GB2312" w:cs="仿宋_GB2312"/>
                      <w:lang w:val="en-US" w:eastAsia="zh-CN"/>
                    </w:rPr>
                    <w:t>，并配套实验报告打印与扫描一体化的打印设备</w:t>
                  </w:r>
                  <w:r>
                    <w:rPr>
                      <w:rFonts w:hint="default" w:ascii="仿宋_GB2312" w:hAnsi="仿宋_GB2312" w:eastAsia="仿宋_GB2312" w:cs="仿宋_GB2312"/>
                      <w:lang w:val="en-US" w:eastAsia="zh-CN"/>
                    </w:rPr>
                    <w:t>。目标是让学生熟练掌握试验机操作流程，学会正确装夹试样、设定试验参数，准确获取试验数据，培养学生独立开展材料性能检测的实践能力，为从事材料质量检测、工程设计等工作奠定坚实基础</w:t>
                  </w:r>
                  <w:r>
                    <w:rPr>
                      <w:rFonts w:hint="eastAsia"/>
                      <w:lang w:eastAsia="zh-CN"/>
                    </w:rPr>
                    <w:t>。</w:t>
                  </w:r>
                </w:p>
              </w:tc>
            </w:tr>
            <w:tr w14:paraId="5DB001E4">
              <w:tblPrEx>
                <w:tblBorders>
                  <w:top w:val="none" w:color="000000" w:sz="4" w:space="0"/>
                  <w:left w:val="none" w:color="000000" w:sz="4" w:space="0"/>
                  <w:bottom w:val="none" w:color="000000" w:sz="4" w:space="0"/>
                  <w:right w:val="none" w:color="000000" w:sz="4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top"/>
                </w:tcPr>
                <w:p w14:paraId="4E514FC7">
                  <w:pPr>
                    <w:pStyle w:val="5"/>
                    <w:jc w:val="center"/>
                    <w:rPr>
                      <w:rFonts w:hint="eastAsia" w:ascii="仿宋_GB2312" w:hAnsi="仿宋_GB2312" w:eastAsia="仿宋_GB2312" w:cs="仿宋_GB2312"/>
                      <w:color w:val="000000"/>
                      <w:sz w:val="22"/>
                      <w:lang w:val="en-US" w:eastAsia="zh-CN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color w:val="000000"/>
                      <w:sz w:val="22"/>
                      <w:lang w:val="en-US" w:eastAsia="zh-CN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top"/>
                </w:tcPr>
                <w:p w14:paraId="33191F54">
                  <w:pPr>
                    <w:pStyle w:val="5"/>
                    <w:jc w:val="both"/>
                  </w:pPr>
                  <w:r>
                    <w:rPr>
                      <w:rFonts w:hint="default" w:ascii="仿宋_GB2312" w:hAnsi="仿宋_GB2312" w:eastAsia="仿宋_GB2312" w:cs="仿宋_GB2312"/>
                      <w:lang w:val="en-US" w:eastAsia="zh-CN"/>
                    </w:rPr>
                    <w:t>微机控制电液伺服万能试验机</w:t>
                  </w:r>
                  <w:r>
                    <w:rPr>
                      <w:rFonts w:hint="eastAsia" w:ascii="仿宋_GB2312" w:hAnsi="仿宋_GB2312" w:eastAsia="仿宋_GB2312" w:cs="仿宋_GB2312"/>
                      <w:b/>
                      <w:bCs/>
                      <w:lang w:val="en-US" w:eastAsia="zh-CN"/>
                    </w:rPr>
                    <w:t>（核心产品）</w:t>
                  </w: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center"/>
                </w:tcPr>
                <w:p w14:paraId="7AE3AD7A">
                  <w:pPr>
                    <w:pStyle w:val="5"/>
                    <w:jc w:val="center"/>
                    <w:rPr>
                      <w:rFonts w:hint="eastAsia" w:eastAsiaTheme="minorEastAsia"/>
                      <w:lang w:val="en-US" w:eastAsia="zh-CN"/>
                    </w:rPr>
                  </w:pPr>
                  <w:r>
                    <w:rPr>
                      <w:rFonts w:hint="eastAsia"/>
                      <w:lang w:val="en-US" w:eastAsia="zh-CN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top"/>
                </w:tcPr>
                <w:p w14:paraId="72A3A438">
                  <w:pPr>
                    <w:pStyle w:val="5"/>
                    <w:jc w:val="center"/>
                  </w:pP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top"/>
                </w:tcPr>
                <w:p w14:paraId="1E780B58">
                  <w:pPr>
                    <w:pStyle w:val="5"/>
                    <w:rPr>
                      <w:rFonts w:hint="default" w:ascii="仿宋_GB2312" w:hAnsi="仿宋_GB2312" w:eastAsia="仿宋_GB2312" w:cs="仿宋_GB2312"/>
                      <w:lang w:val="en-US" w:eastAsia="zh-CN"/>
                    </w:rPr>
                  </w:pPr>
                  <w:r>
                    <w:rPr>
                      <w:rFonts w:hint="default" w:ascii="仿宋_GB2312" w:hAnsi="仿宋_GB2312" w:eastAsia="仿宋_GB2312" w:cs="仿宋_GB2312"/>
                      <w:lang w:val="en-US" w:eastAsia="zh-CN"/>
                    </w:rPr>
                    <w:t>最大试验力不低于2000kN，准确度等级不低于0.5级，试验力示值相对误差不大于0.5%，试验力测量范围</w:t>
                  </w:r>
                  <w:r>
                    <w:rPr>
                      <w:rFonts w:hint="eastAsia" w:ascii="仿宋_GB2312" w:hAnsi="仿宋_GB2312" w:eastAsia="仿宋_GB2312" w:cs="仿宋_GB2312"/>
                      <w:lang w:val="en-US" w:eastAsia="zh-CN"/>
                    </w:rPr>
                    <w:t>满足</w:t>
                  </w:r>
                  <w:r>
                    <w:rPr>
                      <w:rFonts w:hint="default" w:ascii="仿宋_GB2312" w:hAnsi="仿宋_GB2312" w:eastAsia="仿宋_GB2312" w:cs="仿宋_GB2312"/>
                      <w:lang w:val="en-US" w:eastAsia="zh-CN"/>
                    </w:rPr>
                    <w:t>1%～100%FS，</w:t>
                  </w:r>
                </w:p>
                <w:p w14:paraId="6C5ACAF3">
                  <w:pPr>
                    <w:pStyle w:val="5"/>
                    <w:rPr>
                      <w:rFonts w:ascii="仿宋_GB2312" w:hAnsi="仿宋_GB2312" w:eastAsia="仿宋_GB2312" w:cs="仿宋_GB2312"/>
                    </w:rPr>
                  </w:pPr>
                  <w:r>
                    <w:rPr>
                      <w:rFonts w:hint="default" w:ascii="仿宋_GB2312" w:hAnsi="仿宋_GB2312" w:eastAsia="仿宋_GB2312" w:cs="仿宋_GB2312"/>
                      <w:lang w:val="en-US" w:eastAsia="zh-CN"/>
                    </w:rPr>
                    <w:t>变形示值相对误差不大于±0.5%，变形测量范围1%～100%FS，变形分辨力不大于±1/500000FS，活塞行程不低于</w:t>
                  </w:r>
                  <w:r>
                    <w:rPr>
                      <w:rFonts w:hint="eastAsia" w:ascii="仿宋_GB2312" w:hAnsi="仿宋_GB2312" w:eastAsia="仿宋_GB2312" w:cs="仿宋_GB2312"/>
                      <w:lang w:val="en-US" w:eastAsia="zh-CN"/>
                    </w:rPr>
                    <w:t>70</w:t>
                  </w:r>
                  <w:r>
                    <w:rPr>
                      <w:rFonts w:hint="default" w:ascii="仿宋_GB2312" w:hAnsi="仿宋_GB2312" w:eastAsia="仿宋_GB2312" w:cs="仿宋_GB2312"/>
                      <w:lang w:val="en-US" w:eastAsia="zh-CN"/>
                    </w:rPr>
                    <w:t>0mm，活塞上升最大速度不低于，</w:t>
                  </w:r>
                  <w:r>
                    <w:rPr>
                      <w:rFonts w:hint="eastAsia" w:ascii="仿宋_GB2312" w:hAnsi="仿宋_GB2312" w:eastAsia="仿宋_GB2312" w:cs="仿宋_GB2312"/>
                      <w:lang w:val="en-US" w:eastAsia="zh-CN"/>
                    </w:rPr>
                    <w:t>1</w:t>
                  </w:r>
                  <w:r>
                    <w:rPr>
                      <w:rFonts w:hint="default" w:ascii="仿宋_GB2312" w:hAnsi="仿宋_GB2312" w:eastAsia="仿宋_GB2312" w:cs="仿宋_GB2312"/>
                      <w:lang w:val="en-US" w:eastAsia="zh-CN"/>
                    </w:rPr>
                    <w:t>70mm/min，</w:t>
                  </w:r>
                  <w:r>
                    <w:rPr>
                      <w:rFonts w:hint="eastAsia" w:ascii="仿宋_GB2312" w:hAnsi="仿宋_GB2312" w:eastAsia="仿宋_GB2312" w:cs="仿宋_GB2312"/>
                      <w:lang w:val="en-US" w:eastAsia="zh-CN"/>
                    </w:rPr>
                    <w:t>活塞下降最大速度不低于260mm/min，</w:t>
                  </w:r>
                  <w:r>
                    <w:rPr>
                      <w:rFonts w:hint="default" w:ascii="仿宋_GB2312" w:hAnsi="仿宋_GB2312" w:eastAsia="仿宋_GB2312" w:cs="仿宋_GB2312"/>
                      <w:lang w:val="en-US" w:eastAsia="zh-CN"/>
                    </w:rPr>
                    <w:t>最大有效拉伸空间不低于</w:t>
                  </w:r>
                  <w:r>
                    <w:rPr>
                      <w:rFonts w:hint="eastAsia" w:ascii="仿宋_GB2312" w:hAnsi="仿宋_GB2312" w:eastAsia="仿宋_GB2312" w:cs="仿宋_GB2312"/>
                      <w:lang w:val="en-US" w:eastAsia="zh-CN"/>
                    </w:rPr>
                    <w:t>80</w:t>
                  </w:r>
                  <w:r>
                    <w:rPr>
                      <w:rFonts w:hint="default" w:ascii="仿宋_GB2312" w:hAnsi="仿宋_GB2312" w:eastAsia="仿宋_GB2312" w:cs="仿宋_GB2312"/>
                      <w:lang w:val="en-US" w:eastAsia="zh-CN"/>
                    </w:rPr>
                    <w:t>0mm，最大有效压缩空间不低于</w:t>
                  </w:r>
                  <w:r>
                    <w:rPr>
                      <w:rFonts w:hint="eastAsia" w:ascii="仿宋_GB2312" w:hAnsi="仿宋_GB2312" w:eastAsia="仿宋_GB2312" w:cs="仿宋_GB2312"/>
                      <w:lang w:val="en-US" w:eastAsia="zh-CN"/>
                    </w:rPr>
                    <w:t>50</w:t>
                  </w:r>
                  <w:r>
                    <w:rPr>
                      <w:rFonts w:hint="default" w:ascii="仿宋_GB2312" w:hAnsi="仿宋_GB2312" w:eastAsia="仿宋_GB2312" w:cs="仿宋_GB2312"/>
                      <w:lang w:val="en-US" w:eastAsia="zh-CN"/>
                    </w:rPr>
                    <w:t>0mm，圆试样夹块夹持范围需满足Φ</w:t>
                  </w:r>
                  <w:r>
                    <w:rPr>
                      <w:rFonts w:hint="eastAsia" w:ascii="仿宋_GB2312" w:hAnsi="仿宋_GB2312" w:eastAsia="仿宋_GB2312" w:cs="仿宋_GB2312"/>
                      <w:lang w:val="en-US" w:eastAsia="zh-CN"/>
                    </w:rPr>
                    <w:t>20</w:t>
                  </w:r>
                  <w:r>
                    <w:rPr>
                      <w:rFonts w:hint="default" w:ascii="仿宋_GB2312" w:hAnsi="仿宋_GB2312" w:eastAsia="仿宋_GB2312" w:cs="仿宋_GB2312"/>
                      <w:lang w:val="en-US" w:eastAsia="zh-CN"/>
                    </w:rPr>
                    <w:t>～Φ</w:t>
                  </w:r>
                  <w:r>
                    <w:rPr>
                      <w:rFonts w:hint="eastAsia" w:ascii="仿宋_GB2312" w:hAnsi="仿宋_GB2312" w:eastAsia="仿宋_GB2312" w:cs="仿宋_GB2312"/>
                      <w:lang w:val="en-US" w:eastAsia="zh-CN"/>
                    </w:rPr>
                    <w:t>65</w:t>
                  </w:r>
                  <w:r>
                    <w:rPr>
                      <w:rFonts w:hint="default" w:ascii="仿宋_GB2312" w:hAnsi="仿宋_GB2312" w:eastAsia="仿宋_GB2312" w:cs="仿宋_GB2312"/>
                      <w:lang w:val="en-US" w:eastAsia="zh-CN"/>
                    </w:rPr>
                    <w:t>mm，板试样夹持厚度范围需满足10～7</w:t>
                  </w:r>
                  <w:r>
                    <w:rPr>
                      <w:rFonts w:hint="eastAsia" w:ascii="仿宋_GB2312" w:hAnsi="仿宋_GB2312" w:eastAsia="仿宋_GB2312" w:cs="仿宋_GB2312"/>
                      <w:lang w:val="en-US" w:eastAsia="zh-CN"/>
                    </w:rPr>
                    <w:t>0</w:t>
                  </w:r>
                  <w:r>
                    <w:rPr>
                      <w:rFonts w:hint="default" w:ascii="仿宋_GB2312" w:hAnsi="仿宋_GB2312" w:eastAsia="仿宋_GB2312" w:cs="仿宋_GB2312"/>
                      <w:lang w:val="en-US" w:eastAsia="zh-CN"/>
                    </w:rPr>
                    <w:t>mm</w:t>
                  </w:r>
                </w:p>
              </w:tc>
            </w:tr>
            <w:tr w14:paraId="6F5B227C">
              <w:tblPrEx>
                <w:tblBorders>
                  <w:top w:val="none" w:color="000000" w:sz="4" w:space="0"/>
                  <w:left w:val="none" w:color="000000" w:sz="4" w:space="0"/>
                  <w:bottom w:val="none" w:color="000000" w:sz="4" w:space="0"/>
                  <w:right w:val="none" w:color="000000" w:sz="4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413" w:hRule="atLeast"/>
              </w:trPr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top"/>
                </w:tcPr>
                <w:p w14:paraId="09500DD3">
                  <w:pPr>
                    <w:pStyle w:val="5"/>
                    <w:jc w:val="center"/>
                    <w:rPr>
                      <w:rFonts w:hint="default" w:ascii="仿宋_GB2312" w:hAnsi="仿宋_GB2312" w:eastAsia="仿宋_GB2312" w:cs="仿宋_GB2312"/>
                      <w:color w:val="000000"/>
                      <w:sz w:val="22"/>
                      <w:lang w:val="en-US" w:eastAsia="zh-CN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color w:val="000000"/>
                      <w:sz w:val="22"/>
                      <w:lang w:val="en-US" w:eastAsia="zh-CN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top"/>
                </w:tcPr>
                <w:p w14:paraId="07227DF8">
                  <w:pPr>
                    <w:pStyle w:val="5"/>
                    <w:jc w:val="both"/>
                    <w:rPr>
                      <w:rFonts w:hint="default" w:ascii="仿宋_GB2312" w:hAnsi="仿宋_GB2312" w:eastAsia="仿宋_GB2312" w:cs="仿宋_GB2312"/>
                      <w:lang w:val="en-US" w:eastAsia="zh-CN"/>
                    </w:rPr>
                  </w:pPr>
                  <w:r>
                    <w:rPr>
                      <w:rFonts w:hint="default" w:ascii="仿宋_GB2312" w:hAnsi="仿宋_GB2312" w:eastAsia="仿宋_GB2312" w:cs="仿宋_GB2312"/>
                      <w:lang w:val="en-US" w:eastAsia="zh-CN"/>
                    </w:rPr>
                    <w:t>万能试验机配套高温炉</w:t>
                  </w: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center"/>
                </w:tcPr>
                <w:p w14:paraId="528E5FD5">
                  <w:pPr>
                    <w:pStyle w:val="5"/>
                    <w:jc w:val="center"/>
                    <w:rPr>
                      <w:rFonts w:hint="default"/>
                      <w:lang w:val="en-US" w:eastAsia="zh-CN"/>
                    </w:rPr>
                  </w:pPr>
                  <w:r>
                    <w:rPr>
                      <w:rFonts w:hint="eastAsia"/>
                      <w:lang w:val="en-US" w:eastAsia="zh-CN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top"/>
                </w:tcPr>
                <w:p w14:paraId="0B77BD78">
                  <w:pPr>
                    <w:pStyle w:val="5"/>
                    <w:jc w:val="center"/>
                  </w:pP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top"/>
                </w:tcPr>
                <w:p w14:paraId="10C9D1B7">
                  <w:pPr>
                    <w:pStyle w:val="5"/>
                    <w:rPr>
                      <w:rFonts w:hint="default" w:ascii="仿宋_GB2312" w:hAnsi="仿宋_GB2312" w:eastAsia="仿宋_GB2312" w:cs="仿宋_GB2312"/>
                      <w:lang w:val="en-US" w:eastAsia="zh-CN"/>
                    </w:rPr>
                  </w:pPr>
                  <w:r>
                    <w:rPr>
                      <w:rFonts w:hint="default" w:ascii="仿宋_GB2312" w:hAnsi="仿宋_GB2312" w:eastAsia="仿宋_GB2312" w:cs="仿宋_GB2312"/>
                      <w:lang w:val="en-US" w:eastAsia="zh-CN"/>
                    </w:rPr>
                    <w:t>配套万能试验机工作温度最高温度不低于1100℃，有效均温区长度不低于200mm，炉内直径不低于110mm,长度不低于380mm,工作状态下炉表温度低于90℃。</w:t>
                  </w:r>
                </w:p>
              </w:tc>
            </w:tr>
            <w:tr w14:paraId="3E1E3E6B">
              <w:tblPrEx>
                <w:tblBorders>
                  <w:top w:val="none" w:color="000000" w:sz="4" w:space="0"/>
                  <w:left w:val="none" w:color="000000" w:sz="4" w:space="0"/>
                  <w:bottom w:val="none" w:color="000000" w:sz="4" w:space="0"/>
                  <w:right w:val="none" w:color="000000" w:sz="4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top"/>
                </w:tcPr>
                <w:p w14:paraId="288970EB">
                  <w:pPr>
                    <w:pStyle w:val="5"/>
                    <w:jc w:val="both"/>
                    <w:rPr>
                      <w:rFonts w:hint="eastAsia" w:ascii="仿宋_GB2312" w:hAnsi="仿宋_GB2312" w:eastAsia="仿宋_GB2312" w:cs="仿宋_GB2312"/>
                      <w:lang w:val="en-US" w:eastAsia="zh-CN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lang w:val="en-US" w:eastAsia="zh-CN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top"/>
                </w:tcPr>
                <w:p w14:paraId="35BBB4EF">
                  <w:pPr>
                    <w:pStyle w:val="5"/>
                    <w:jc w:val="both"/>
                    <w:rPr>
                      <w:rFonts w:hint="default" w:ascii="仿宋_GB2312" w:hAnsi="仿宋_GB2312" w:eastAsia="仿宋_GB2312" w:cs="仿宋_GB2312"/>
                      <w:lang w:val="en-US" w:eastAsia="zh-CN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lang w:val="en-US" w:eastAsia="zh-CN"/>
                    </w:rPr>
                    <w:t>万能试验机配套高低温环境箱</w:t>
                  </w: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center"/>
                </w:tcPr>
                <w:p w14:paraId="7CEE77DE">
                  <w:pPr>
                    <w:pStyle w:val="5"/>
                    <w:jc w:val="center"/>
                    <w:rPr>
                      <w:rFonts w:hint="eastAsia" w:eastAsiaTheme="minorEastAsia"/>
                      <w:lang w:val="en-US" w:eastAsia="zh-CN"/>
                    </w:rPr>
                  </w:pPr>
                  <w:r>
                    <w:rPr>
                      <w:rFonts w:hint="eastAsia"/>
                      <w:lang w:val="en-US" w:eastAsia="zh-CN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top"/>
                </w:tcPr>
                <w:p w14:paraId="58D80EC1">
                  <w:pPr>
                    <w:pStyle w:val="5"/>
                    <w:jc w:val="center"/>
                  </w:pP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top"/>
                </w:tcPr>
                <w:p w14:paraId="72A03E31">
                  <w:pPr>
                    <w:pStyle w:val="5"/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textAlignment w:val="auto"/>
                  </w:pPr>
                  <w:r>
                    <w:rPr>
                      <w:rFonts w:hint="eastAsia" w:ascii="仿宋_GB2312" w:hAnsi="仿宋_GB2312" w:eastAsia="仿宋_GB2312" w:cs="仿宋_GB2312"/>
                      <w:lang w:val="en-US" w:eastAsia="zh-CN"/>
                    </w:rPr>
                    <w:t>配套万能试验机工作温度不低于-40～+150℃的要求，制冷方式：液氮或压缩机，温度偏差小于±2℃，温度梯度不大于2℃，温控表显示精度小于±0.1℃，升温速率不低于5℃/min，高低温箱夹具满足《混凝土物理力学性能试验方法标准》GB/T50081-2019中高低温试验要求。</w:t>
                  </w:r>
                </w:p>
              </w:tc>
            </w:tr>
            <w:tr w14:paraId="096EFFFB">
              <w:tblPrEx>
                <w:tblBorders>
                  <w:top w:val="none" w:color="000000" w:sz="4" w:space="0"/>
                  <w:left w:val="none" w:color="000000" w:sz="4" w:space="0"/>
                  <w:bottom w:val="none" w:color="000000" w:sz="4" w:space="0"/>
                  <w:right w:val="none" w:color="000000" w:sz="4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536" w:hRule="atLeast"/>
              </w:trPr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top"/>
                </w:tcPr>
                <w:p w14:paraId="0AB465F8">
                  <w:pPr>
                    <w:pStyle w:val="5"/>
                    <w:jc w:val="both"/>
                    <w:rPr>
                      <w:rFonts w:hint="default" w:ascii="仿宋_GB2312" w:hAnsi="仿宋_GB2312" w:eastAsia="仿宋_GB2312" w:cs="仿宋_GB2312"/>
                      <w:lang w:val="en-US" w:eastAsia="zh-CN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lang w:val="en-US" w:eastAsia="zh-CN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top"/>
                </w:tcPr>
                <w:p w14:paraId="53E83426">
                  <w:pPr>
                    <w:pStyle w:val="5"/>
                    <w:jc w:val="both"/>
                    <w:rPr>
                      <w:rFonts w:hint="eastAsia" w:ascii="仿宋_GB2312" w:hAnsi="仿宋_GB2312" w:eastAsia="仿宋_GB2312" w:cs="仿宋_GB2312"/>
                      <w:lang w:val="en-US" w:eastAsia="zh-CN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lang w:val="en-US" w:eastAsia="zh-CN"/>
                    </w:rPr>
                    <w:t>万能试验机配套混凝土劈裂夹具</w:t>
                  </w: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center"/>
                </w:tcPr>
                <w:p w14:paraId="336151B9">
                  <w:pPr>
                    <w:pStyle w:val="5"/>
                    <w:jc w:val="center"/>
                    <w:rPr>
                      <w:rFonts w:hint="eastAsia"/>
                      <w:lang w:val="en-US" w:eastAsia="zh-CN"/>
                    </w:rPr>
                  </w:pPr>
                  <w:r>
                    <w:rPr>
                      <w:rFonts w:hint="eastAsia"/>
                      <w:lang w:val="en-US" w:eastAsia="zh-CN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top"/>
                </w:tcPr>
                <w:p w14:paraId="7F0EFAF4">
                  <w:pPr>
                    <w:pStyle w:val="5"/>
                    <w:jc w:val="center"/>
                  </w:pPr>
                </w:p>
              </w:tc>
              <w:tc>
                <w:tcPr>
                  <w:tcW w:w="0" w:type="auto"/>
                  <w:vMerge w:val="restart"/>
                  <w:tcBorders>
                    <w:top w:val="single" w:color="000000" w:sz="4" w:space="0"/>
                    <w:left w:val="single" w:color="000000" w:sz="4" w:space="0"/>
                    <w:right w:val="single" w:color="000000" w:sz="4" w:space="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top"/>
                </w:tcPr>
                <w:p w14:paraId="088677B7">
                  <w:pPr>
                    <w:pStyle w:val="5"/>
                    <w:rPr>
                      <w:rFonts w:hint="eastAsia" w:ascii="仿宋_GB2312" w:hAnsi="仿宋_GB2312" w:eastAsia="仿宋_GB2312" w:cs="仿宋_GB2312"/>
                      <w:lang w:val="en-US" w:eastAsia="zh-CN"/>
                    </w:rPr>
                  </w:pPr>
                </w:p>
                <w:p w14:paraId="04CA1D4C">
                  <w:pPr>
                    <w:pStyle w:val="5"/>
                    <w:rPr>
                      <w:rFonts w:hint="eastAsia" w:ascii="仿宋_GB2312" w:hAnsi="仿宋_GB2312" w:eastAsia="仿宋_GB2312" w:cs="仿宋_GB2312"/>
                      <w:lang w:val="en-US" w:eastAsia="zh-CN"/>
                    </w:rPr>
                  </w:pPr>
                </w:p>
                <w:p w14:paraId="7FE2F387">
                  <w:pPr>
                    <w:pStyle w:val="5"/>
                    <w:rPr>
                      <w:rFonts w:hint="eastAsia" w:ascii="仿宋_GB2312" w:hAnsi="仿宋_GB2312" w:eastAsia="仿宋_GB2312" w:cs="仿宋_GB2312"/>
                      <w:lang w:val="en-US" w:eastAsia="zh-CN"/>
                    </w:rPr>
                  </w:pPr>
                </w:p>
                <w:p w14:paraId="542F7068">
                  <w:pPr>
                    <w:pStyle w:val="5"/>
                    <w:rPr>
                      <w:rFonts w:hint="eastAsia" w:ascii="仿宋_GB2312" w:hAnsi="仿宋_GB2312" w:eastAsia="仿宋_GB2312" w:cs="仿宋_GB2312"/>
                      <w:lang w:val="en-US" w:eastAsia="zh-CN"/>
                    </w:rPr>
                  </w:pPr>
                </w:p>
                <w:p w14:paraId="33B9A254">
                  <w:pPr>
                    <w:pStyle w:val="5"/>
                    <w:rPr>
                      <w:rFonts w:hint="eastAsia" w:ascii="仿宋_GB2312" w:hAnsi="仿宋_GB2312" w:eastAsia="仿宋_GB2312" w:cs="仿宋_GB2312"/>
                      <w:lang w:val="en-US" w:eastAsia="zh-CN"/>
                    </w:rPr>
                  </w:pPr>
                </w:p>
                <w:p w14:paraId="5239731B">
                  <w:pPr>
                    <w:pStyle w:val="5"/>
                    <w:rPr>
                      <w:rFonts w:hint="eastAsia" w:ascii="仿宋_GB2312" w:hAnsi="仿宋_GB2312" w:eastAsia="仿宋_GB2312" w:cs="仿宋_GB2312"/>
                      <w:lang w:val="en-US" w:eastAsia="zh-CN"/>
                    </w:rPr>
                  </w:pPr>
                </w:p>
                <w:p w14:paraId="5CDFA18C">
                  <w:pPr>
                    <w:pStyle w:val="5"/>
                    <w:rPr>
                      <w:rFonts w:hint="eastAsia" w:ascii="仿宋_GB2312" w:hAnsi="仿宋_GB2312" w:eastAsia="仿宋_GB2312" w:cs="仿宋_GB2312"/>
                      <w:lang w:val="en-US" w:eastAsia="zh-CN"/>
                    </w:rPr>
                  </w:pPr>
                </w:p>
                <w:p w14:paraId="45110D70">
                  <w:pPr>
                    <w:pStyle w:val="5"/>
                    <w:rPr>
                      <w:rFonts w:hint="eastAsia" w:ascii="仿宋_GB2312" w:hAnsi="仿宋_GB2312" w:eastAsia="仿宋_GB2312" w:cs="仿宋_GB2312"/>
                      <w:lang w:val="en-US" w:eastAsia="zh-CN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lang w:val="en-US" w:eastAsia="zh-CN"/>
                    </w:rPr>
                    <w:t>夹具尺寸规格需满足《混凝土物理力学性能试验方法标准》GB/T50081-2019中关于混凝土劈裂抗拉强度试验（立方体试件与圆柱体试件）、抗折强度试验、混凝土与钢筋的握裹力强度试验的要求。</w:t>
                  </w:r>
                </w:p>
              </w:tc>
            </w:tr>
            <w:tr w14:paraId="66969698">
              <w:tblPrEx>
                <w:tblBorders>
                  <w:top w:val="none" w:color="000000" w:sz="4" w:space="0"/>
                  <w:left w:val="none" w:color="000000" w:sz="4" w:space="0"/>
                  <w:bottom w:val="none" w:color="000000" w:sz="4" w:space="0"/>
                  <w:right w:val="none" w:color="000000" w:sz="4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536" w:hRule="atLeast"/>
              </w:trPr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top"/>
                </w:tcPr>
                <w:p w14:paraId="0190541E">
                  <w:pPr>
                    <w:pStyle w:val="5"/>
                    <w:jc w:val="both"/>
                    <w:rPr>
                      <w:rFonts w:hint="default" w:ascii="仿宋_GB2312" w:hAnsi="仿宋_GB2312" w:eastAsia="仿宋_GB2312" w:cs="仿宋_GB2312"/>
                      <w:lang w:val="en-US" w:eastAsia="zh-CN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lang w:val="en-US" w:eastAsia="zh-CN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top"/>
                </w:tcPr>
                <w:p w14:paraId="16367A14">
                  <w:pPr>
                    <w:pStyle w:val="5"/>
                    <w:jc w:val="both"/>
                    <w:rPr>
                      <w:rFonts w:hint="eastAsia" w:ascii="仿宋_GB2312" w:hAnsi="仿宋_GB2312" w:eastAsia="仿宋_GB2312" w:cs="仿宋_GB2312"/>
                      <w:lang w:val="en-US" w:eastAsia="zh-CN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lang w:val="en-US" w:eastAsia="zh-CN"/>
                    </w:rPr>
                    <w:t>万能试验机配套四点弯曲夹具</w:t>
                  </w: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center"/>
                </w:tcPr>
                <w:p w14:paraId="0FBCD3EE">
                  <w:pPr>
                    <w:pStyle w:val="5"/>
                    <w:jc w:val="center"/>
                    <w:rPr>
                      <w:rFonts w:hint="eastAsia"/>
                      <w:lang w:val="en-US" w:eastAsia="zh-CN"/>
                    </w:rPr>
                  </w:pPr>
                  <w:r>
                    <w:rPr>
                      <w:rFonts w:hint="eastAsia"/>
                      <w:lang w:val="en-US" w:eastAsia="zh-CN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top"/>
                </w:tcPr>
                <w:p w14:paraId="044DE0A0">
                  <w:pPr>
                    <w:pStyle w:val="5"/>
                    <w:jc w:val="center"/>
                  </w:pPr>
                </w:p>
              </w:tc>
              <w:tc>
                <w:tcPr>
                  <w:tcW w:w="0" w:type="auto"/>
                  <w:vMerge w:val="continue"/>
                  <w:tcBorders>
                    <w:left w:val="single" w:color="000000" w:sz="4" w:space="0"/>
                    <w:right w:val="single" w:color="000000" w:sz="4" w:space="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top"/>
                </w:tcPr>
                <w:p w14:paraId="5A2F59B0">
                  <w:pPr>
                    <w:pStyle w:val="5"/>
                    <w:rPr>
                      <w:rFonts w:hint="eastAsia" w:ascii="仿宋_GB2312" w:hAnsi="仿宋_GB2312" w:eastAsia="仿宋_GB2312" w:cs="仿宋_GB2312"/>
                      <w:lang w:val="en-US" w:eastAsia="zh-CN"/>
                    </w:rPr>
                  </w:pPr>
                </w:p>
              </w:tc>
            </w:tr>
            <w:tr w14:paraId="1FF43E46">
              <w:tblPrEx>
                <w:tblBorders>
                  <w:top w:val="none" w:color="000000" w:sz="4" w:space="0"/>
                  <w:left w:val="none" w:color="000000" w:sz="4" w:space="0"/>
                  <w:bottom w:val="none" w:color="000000" w:sz="4" w:space="0"/>
                  <w:right w:val="none" w:color="000000" w:sz="4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36" w:hRule="atLeast"/>
              </w:trPr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top"/>
                </w:tcPr>
                <w:p w14:paraId="70752B10">
                  <w:pPr>
                    <w:pStyle w:val="5"/>
                    <w:jc w:val="both"/>
                    <w:rPr>
                      <w:rFonts w:hint="default" w:ascii="仿宋_GB2312" w:hAnsi="仿宋_GB2312" w:eastAsia="仿宋_GB2312" w:cs="仿宋_GB2312"/>
                      <w:lang w:val="en-US" w:eastAsia="zh-CN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lang w:val="en-US" w:eastAsia="zh-CN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top"/>
                </w:tcPr>
                <w:p w14:paraId="2163B25D">
                  <w:pPr>
                    <w:pStyle w:val="5"/>
                    <w:jc w:val="both"/>
                    <w:rPr>
                      <w:rFonts w:hint="eastAsia" w:ascii="仿宋_GB2312" w:hAnsi="仿宋_GB2312" w:eastAsia="仿宋_GB2312" w:cs="仿宋_GB2312"/>
                      <w:lang w:val="en-US" w:eastAsia="zh-CN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lang w:val="en-US" w:eastAsia="zh-CN"/>
                    </w:rPr>
                    <w:t>万能试验机配套混凝土钢筋握裹力拉拔试验夹具</w:t>
                  </w: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center"/>
                </w:tcPr>
                <w:p w14:paraId="4A96E54B">
                  <w:pPr>
                    <w:pStyle w:val="5"/>
                    <w:jc w:val="center"/>
                    <w:rPr>
                      <w:rFonts w:hint="eastAsia"/>
                      <w:lang w:val="en-US" w:eastAsia="zh-CN"/>
                    </w:rPr>
                  </w:pPr>
                  <w:r>
                    <w:rPr>
                      <w:rFonts w:hint="eastAsia"/>
                      <w:lang w:val="en-US" w:eastAsia="zh-CN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top"/>
                </w:tcPr>
                <w:p w14:paraId="3F065DCA">
                  <w:pPr>
                    <w:pStyle w:val="5"/>
                    <w:jc w:val="center"/>
                  </w:pPr>
                </w:p>
              </w:tc>
              <w:tc>
                <w:tcPr>
                  <w:tcW w:w="0" w:type="auto"/>
                  <w:vMerge w:val="continue"/>
                  <w:tcBorders>
                    <w:left w:val="single" w:color="000000" w:sz="4" w:space="0"/>
                    <w:right w:val="single" w:color="000000" w:sz="4" w:space="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top"/>
                </w:tcPr>
                <w:p w14:paraId="0671A7D9">
                  <w:pPr>
                    <w:pStyle w:val="5"/>
                    <w:rPr>
                      <w:rFonts w:hint="eastAsia" w:ascii="仿宋_GB2312" w:hAnsi="仿宋_GB2312" w:eastAsia="仿宋_GB2312" w:cs="仿宋_GB2312"/>
                      <w:lang w:val="en-US" w:eastAsia="zh-CN"/>
                    </w:rPr>
                  </w:pPr>
                </w:p>
              </w:tc>
            </w:tr>
            <w:tr w14:paraId="6420C70C">
              <w:tblPrEx>
                <w:tblBorders>
                  <w:top w:val="none" w:color="000000" w:sz="4" w:space="0"/>
                  <w:left w:val="none" w:color="000000" w:sz="4" w:space="0"/>
                  <w:bottom w:val="none" w:color="000000" w:sz="4" w:space="0"/>
                  <w:right w:val="none" w:color="000000" w:sz="4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36" w:hRule="atLeast"/>
              </w:trPr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top"/>
                </w:tcPr>
                <w:p w14:paraId="179115D0">
                  <w:pPr>
                    <w:pStyle w:val="5"/>
                    <w:jc w:val="both"/>
                    <w:rPr>
                      <w:rFonts w:hint="default" w:ascii="仿宋_GB2312" w:hAnsi="仿宋_GB2312" w:eastAsia="仿宋_GB2312" w:cs="仿宋_GB2312"/>
                      <w:lang w:val="en-US" w:eastAsia="zh-CN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lang w:val="en-US" w:eastAsia="zh-CN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top"/>
                </w:tcPr>
                <w:p w14:paraId="6B703590">
                  <w:pPr>
                    <w:pStyle w:val="5"/>
                    <w:jc w:val="both"/>
                    <w:rPr>
                      <w:rFonts w:hint="eastAsia" w:ascii="仿宋_GB2312" w:hAnsi="仿宋_GB2312" w:eastAsia="仿宋_GB2312" w:cs="仿宋_GB2312"/>
                      <w:lang w:val="en-US" w:eastAsia="zh-CN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lang w:val="en-US" w:eastAsia="zh-CN"/>
                    </w:rPr>
                    <w:t>万能试验机配套岩石变角剪切夹具</w:t>
                  </w: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center"/>
                </w:tcPr>
                <w:p w14:paraId="52543607">
                  <w:pPr>
                    <w:pStyle w:val="5"/>
                    <w:jc w:val="center"/>
                    <w:rPr>
                      <w:rFonts w:hint="eastAsia"/>
                      <w:lang w:val="en-US" w:eastAsia="zh-CN"/>
                    </w:rPr>
                  </w:pPr>
                  <w:r>
                    <w:rPr>
                      <w:rFonts w:hint="eastAsia"/>
                      <w:lang w:val="en-US" w:eastAsia="zh-CN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top"/>
                </w:tcPr>
                <w:p w14:paraId="65A9BA75">
                  <w:pPr>
                    <w:pStyle w:val="5"/>
                    <w:jc w:val="center"/>
                  </w:pPr>
                </w:p>
              </w:tc>
              <w:tc>
                <w:tcPr>
                  <w:tcW w:w="0" w:type="auto"/>
                  <w:vMerge w:val="continue"/>
                  <w:tcBorders>
                    <w:left w:val="single" w:color="000000" w:sz="4" w:space="0"/>
                    <w:right w:val="single" w:color="000000" w:sz="4" w:space="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top"/>
                </w:tcPr>
                <w:p w14:paraId="2FF36B1C">
                  <w:pPr>
                    <w:pStyle w:val="5"/>
                    <w:rPr>
                      <w:rFonts w:hint="eastAsia" w:ascii="仿宋_GB2312" w:hAnsi="仿宋_GB2312" w:eastAsia="仿宋_GB2312" w:cs="仿宋_GB2312"/>
                      <w:lang w:val="en-US" w:eastAsia="zh-CN"/>
                    </w:rPr>
                  </w:pPr>
                </w:p>
              </w:tc>
            </w:tr>
            <w:tr w14:paraId="53C5B1E2">
              <w:tblPrEx>
                <w:tblBorders>
                  <w:top w:val="none" w:color="000000" w:sz="4" w:space="0"/>
                  <w:left w:val="none" w:color="000000" w:sz="4" w:space="0"/>
                  <w:bottom w:val="none" w:color="000000" w:sz="4" w:space="0"/>
                  <w:right w:val="none" w:color="000000" w:sz="4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36" w:hRule="atLeast"/>
              </w:trPr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top"/>
                </w:tcPr>
                <w:p w14:paraId="01B9A8A8">
                  <w:pPr>
                    <w:pStyle w:val="5"/>
                    <w:jc w:val="both"/>
                    <w:rPr>
                      <w:rFonts w:hint="default" w:ascii="仿宋_GB2312" w:hAnsi="仿宋_GB2312" w:eastAsia="仿宋_GB2312" w:cs="仿宋_GB2312"/>
                      <w:lang w:val="en-US" w:eastAsia="zh-CN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lang w:val="en-US" w:eastAsia="zh-CN"/>
                    </w:rPr>
                    <w:t>9</w:t>
                  </w: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top"/>
                </w:tcPr>
                <w:p w14:paraId="3E80EB16">
                  <w:pPr>
                    <w:pStyle w:val="5"/>
                    <w:jc w:val="both"/>
                    <w:rPr>
                      <w:rFonts w:hint="eastAsia" w:ascii="仿宋_GB2312" w:hAnsi="仿宋_GB2312" w:eastAsia="仿宋_GB2312" w:cs="仿宋_GB2312"/>
                      <w:lang w:val="en-US" w:eastAsia="zh-CN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lang w:val="en-US" w:eastAsia="zh-CN"/>
                    </w:rPr>
                    <w:t>万能试验机配套岩板单轴加载夹具（岩板测试厚度不低于60mm）</w:t>
                  </w: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center"/>
                </w:tcPr>
                <w:p w14:paraId="0BD0EFE9">
                  <w:pPr>
                    <w:pStyle w:val="5"/>
                    <w:jc w:val="center"/>
                    <w:rPr>
                      <w:rFonts w:hint="eastAsia"/>
                      <w:lang w:val="en-US" w:eastAsia="zh-CN"/>
                    </w:rPr>
                  </w:pPr>
                  <w:r>
                    <w:rPr>
                      <w:rFonts w:hint="eastAsia"/>
                      <w:lang w:val="en-US" w:eastAsia="zh-CN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auto" w:sz="4" w:space="0"/>
                    <w:right w:val="single" w:color="000000" w:sz="4" w:space="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center"/>
                </w:tcPr>
                <w:p w14:paraId="2AA8DAF2">
                  <w:pPr>
                    <w:pStyle w:val="5"/>
                    <w:jc w:val="center"/>
                  </w:pPr>
                </w:p>
              </w:tc>
              <w:tc>
                <w:tcPr>
                  <w:tcW w:w="0" w:type="auto"/>
                  <w:vMerge w:val="continue"/>
                  <w:tcBorders>
                    <w:left w:val="single" w:color="000000" w:sz="4" w:space="0"/>
                    <w:bottom w:val="single" w:color="auto" w:sz="4" w:space="0"/>
                    <w:right w:val="single" w:color="000000" w:sz="4" w:space="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top"/>
                </w:tcPr>
                <w:p w14:paraId="535BF42B">
                  <w:pPr>
                    <w:pStyle w:val="5"/>
                    <w:rPr>
                      <w:rFonts w:hint="eastAsia" w:ascii="仿宋_GB2312" w:hAnsi="仿宋_GB2312" w:eastAsia="仿宋_GB2312" w:cs="仿宋_GB2312"/>
                      <w:lang w:val="en-US" w:eastAsia="zh-CN"/>
                    </w:rPr>
                  </w:pPr>
                </w:p>
              </w:tc>
            </w:tr>
            <w:tr w14:paraId="27E3CFD8">
              <w:tblPrEx>
                <w:tblBorders>
                  <w:top w:val="none" w:color="000000" w:sz="4" w:space="0"/>
                  <w:left w:val="none" w:color="000000" w:sz="4" w:space="0"/>
                  <w:bottom w:val="none" w:color="000000" w:sz="4" w:space="0"/>
                  <w:right w:val="none" w:color="000000" w:sz="4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36" w:hRule="atLeast"/>
              </w:trPr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top"/>
                </w:tcPr>
                <w:p w14:paraId="0D892F35">
                  <w:pPr>
                    <w:pStyle w:val="5"/>
                    <w:jc w:val="both"/>
                    <w:rPr>
                      <w:rFonts w:hint="default" w:ascii="仿宋_GB2312" w:hAnsi="仿宋_GB2312" w:eastAsia="仿宋_GB2312" w:cs="仿宋_GB2312"/>
                      <w:lang w:val="en-US" w:eastAsia="zh-CN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lang w:val="en-US" w:eastAsia="zh-CN"/>
                    </w:rPr>
                    <w:t>10</w:t>
                  </w: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top"/>
                </w:tcPr>
                <w:p w14:paraId="17340212">
                  <w:pPr>
                    <w:pStyle w:val="5"/>
                    <w:jc w:val="both"/>
                    <w:rPr>
                      <w:rFonts w:hint="eastAsia" w:ascii="仿宋_GB2312" w:hAnsi="仿宋_GB2312" w:eastAsia="仿宋_GB2312" w:cs="仿宋_GB2312"/>
                      <w:lang w:val="en-US" w:eastAsia="zh-CN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lang w:val="en-US" w:eastAsia="zh-CN"/>
                    </w:rPr>
                    <w:t>万能试验机配套视频引伸计</w:t>
                  </w: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auto" w:sz="4" w:space="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center"/>
                </w:tcPr>
                <w:p w14:paraId="50C8DB92">
                  <w:pPr>
                    <w:pStyle w:val="5"/>
                    <w:jc w:val="center"/>
                    <w:rPr>
                      <w:rFonts w:hint="default"/>
                      <w:lang w:val="en-US" w:eastAsia="zh-CN"/>
                    </w:rPr>
                  </w:pPr>
                  <w:r>
                    <w:rPr>
                      <w:rFonts w:hint="eastAsia"/>
                      <w:lang w:val="en-US" w:eastAsia="zh-CN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center"/>
                </w:tcPr>
                <w:p w14:paraId="47113BD4">
                  <w:pPr>
                    <w:pStyle w:val="5"/>
                    <w:jc w:val="center"/>
                  </w:pPr>
                </w:p>
              </w:tc>
              <w:tc>
                <w:tcPr>
                  <w:tcW w:w="0" w:type="auto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top"/>
                </w:tcPr>
                <w:p w14:paraId="61AC5B1C">
                  <w:pPr>
                    <w:pStyle w:val="5"/>
                    <w:rPr>
                      <w:rFonts w:hint="eastAsia" w:ascii="仿宋_GB2312" w:hAnsi="仿宋_GB2312" w:eastAsia="仿宋_GB2312" w:cs="仿宋_GB2312"/>
                      <w:lang w:val="en-US" w:eastAsia="zh-CN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lang w:val="en-US" w:eastAsia="zh-CN"/>
                    </w:rPr>
                    <w:t>视野范围不低于150mm，准确等级不低于0.5级，精度不低于</w:t>
                  </w:r>
                  <w:r>
                    <w:rPr>
                      <w:rFonts w:hint="default" w:ascii="仿宋_GB2312" w:hAnsi="仿宋_GB2312" w:eastAsia="仿宋_GB2312" w:cs="仿宋_GB2312"/>
                      <w:lang w:val="en-US" w:eastAsia="zh-CN"/>
                    </w:rPr>
                    <w:t>0.5μm</w:t>
                  </w:r>
                  <w:r>
                    <w:rPr>
                      <w:rFonts w:hint="eastAsia" w:ascii="仿宋_GB2312" w:hAnsi="仿宋_GB2312" w:eastAsia="仿宋_GB2312" w:cs="仿宋_GB2312"/>
                      <w:lang w:val="en-US" w:eastAsia="zh-CN"/>
                    </w:rPr>
                    <w:t>，分辨率不低于8.8Mpx，帧率不低于32Hz。</w:t>
                  </w:r>
                </w:p>
              </w:tc>
            </w:tr>
            <w:tr w14:paraId="4CB2D3A7">
              <w:tblPrEx>
                <w:tblBorders>
                  <w:top w:val="none" w:color="000000" w:sz="4" w:space="0"/>
                  <w:left w:val="none" w:color="000000" w:sz="4" w:space="0"/>
                  <w:bottom w:val="none" w:color="000000" w:sz="4" w:space="0"/>
                  <w:right w:val="none" w:color="000000" w:sz="4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36" w:hRule="atLeast"/>
              </w:trPr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top"/>
                </w:tcPr>
                <w:p w14:paraId="1DBE8647">
                  <w:pPr>
                    <w:pStyle w:val="5"/>
                    <w:jc w:val="both"/>
                    <w:rPr>
                      <w:rFonts w:hint="default" w:ascii="仿宋_GB2312" w:hAnsi="仿宋_GB2312" w:eastAsia="仿宋_GB2312" w:cs="仿宋_GB2312"/>
                      <w:lang w:val="en-US" w:eastAsia="zh-CN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lang w:val="en-US" w:eastAsia="zh-CN"/>
                    </w:rPr>
                    <w:t>11</w:t>
                  </w: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top"/>
                </w:tcPr>
                <w:p w14:paraId="14DAF35D">
                  <w:pPr>
                    <w:pStyle w:val="5"/>
                    <w:jc w:val="both"/>
                    <w:rPr>
                      <w:rFonts w:hint="eastAsia" w:ascii="仿宋_GB2312" w:hAnsi="仿宋_GB2312" w:eastAsia="仿宋_GB2312" w:cs="仿宋_GB2312"/>
                      <w:lang w:val="en-US" w:eastAsia="zh-CN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lang w:val="en-US" w:eastAsia="zh-CN"/>
                    </w:rPr>
                    <w:t>万能试验机配套非接触式三维应变位移测量系统</w:t>
                  </w: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auto" w:sz="4" w:space="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center"/>
                </w:tcPr>
                <w:p w14:paraId="1E2DCD73">
                  <w:pPr>
                    <w:pStyle w:val="5"/>
                    <w:jc w:val="center"/>
                    <w:rPr>
                      <w:rFonts w:hint="default"/>
                      <w:lang w:val="en-US" w:eastAsia="zh-CN"/>
                    </w:rPr>
                  </w:pPr>
                  <w:r>
                    <w:rPr>
                      <w:rFonts w:hint="eastAsia"/>
                      <w:lang w:val="en-US" w:eastAsia="zh-CN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center"/>
                </w:tcPr>
                <w:p w14:paraId="758BC508">
                  <w:pPr>
                    <w:pStyle w:val="5"/>
                    <w:jc w:val="center"/>
                  </w:pPr>
                </w:p>
              </w:tc>
              <w:tc>
                <w:tcPr>
                  <w:tcW w:w="0" w:type="auto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top"/>
                </w:tcPr>
                <w:p w14:paraId="48BF7039">
                  <w:pPr>
                    <w:pStyle w:val="5"/>
                    <w:rPr>
                      <w:rFonts w:hint="eastAsia" w:ascii="仿宋_GB2312" w:hAnsi="仿宋_GB2312" w:eastAsia="仿宋_GB2312" w:cs="仿宋_GB2312"/>
                      <w:lang w:val="en-US" w:eastAsia="zh-CN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kern w:val="21"/>
                      <w:lang w:val="en-US" w:eastAsia="zh-CN"/>
                    </w:rPr>
                    <w:t>系统配套数据处理软件，自动计算测试数据，支持平面二维、曲面三维变形测量，应变测量精度不低于20με，应变测量范围满足0.01%~2000%，双目相机像素不低于2500万像素x2，相机帧率不低于85fps，测量视野不低于400*300mm。</w:t>
                  </w:r>
                </w:p>
              </w:tc>
            </w:tr>
            <w:tr w14:paraId="14CD0755">
              <w:tblPrEx>
                <w:tblBorders>
                  <w:top w:val="none" w:color="000000" w:sz="4" w:space="0"/>
                  <w:left w:val="none" w:color="000000" w:sz="4" w:space="0"/>
                  <w:bottom w:val="none" w:color="000000" w:sz="4" w:space="0"/>
                  <w:right w:val="none" w:color="000000" w:sz="4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36" w:hRule="atLeast"/>
              </w:trPr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top"/>
                </w:tcPr>
                <w:p w14:paraId="3102A64C">
                  <w:pPr>
                    <w:pStyle w:val="5"/>
                    <w:jc w:val="both"/>
                    <w:rPr>
                      <w:rFonts w:hint="default" w:ascii="仿宋_GB2312" w:hAnsi="仿宋_GB2312" w:eastAsia="仿宋_GB2312" w:cs="仿宋_GB2312"/>
                      <w:lang w:val="en-US" w:eastAsia="zh-CN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lang w:val="en-US" w:eastAsia="zh-CN"/>
                    </w:rPr>
                    <w:t>12</w:t>
                  </w: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top"/>
                </w:tcPr>
                <w:p w14:paraId="7F5D47A2">
                  <w:pPr>
                    <w:pStyle w:val="5"/>
                    <w:jc w:val="both"/>
                    <w:rPr>
                      <w:rFonts w:hint="eastAsia" w:ascii="仿宋_GB2312" w:hAnsi="仿宋_GB2312" w:eastAsia="仿宋_GB2312" w:cs="仿宋_GB2312"/>
                      <w:lang w:val="en-US" w:eastAsia="zh-CN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lang w:val="en-US" w:eastAsia="zh-CN"/>
                    </w:rPr>
                    <w:t>万能试验机配套信号测试分析系统</w:t>
                  </w: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auto" w:sz="4" w:space="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center"/>
                </w:tcPr>
                <w:p w14:paraId="5106244E">
                  <w:pPr>
                    <w:pStyle w:val="5"/>
                    <w:jc w:val="center"/>
                    <w:rPr>
                      <w:rFonts w:hint="default"/>
                      <w:lang w:val="en-US" w:eastAsia="zh-CN"/>
                    </w:rPr>
                  </w:pPr>
                  <w:r>
                    <w:rPr>
                      <w:rFonts w:hint="eastAsia"/>
                      <w:lang w:val="en-US" w:eastAsia="zh-CN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center"/>
                </w:tcPr>
                <w:p w14:paraId="2449DB4E">
                  <w:pPr>
                    <w:pStyle w:val="5"/>
                    <w:jc w:val="center"/>
                  </w:pPr>
                </w:p>
              </w:tc>
              <w:tc>
                <w:tcPr>
                  <w:tcW w:w="0" w:type="auto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top"/>
                </w:tcPr>
                <w:p w14:paraId="35AB395F">
                  <w:pPr>
                    <w:pStyle w:val="5"/>
                    <w:rPr>
                      <w:rFonts w:hint="eastAsia" w:ascii="仿宋_GB2312" w:hAnsi="仿宋_GB2312" w:eastAsia="仿宋_GB2312" w:cs="仿宋_GB2312"/>
                      <w:lang w:val="en-US" w:eastAsia="zh-CN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lang w:val="en-US" w:eastAsia="zh-CN"/>
                    </w:rPr>
                    <w:t>支持有线网络和无线网络通讯，传感参数自动导入，所有通道数据的实时传输、实时显示、实时存储和实时分析，可通过PC软件和APP软件控制，连续采样速率不低于250kHz/通道，设备通道数不低于30，电压示值误差不大于±0.2%F.S，常温工作环境下稳定度不高于0.05%/天，多设备工作时同步精度不低于30ns。</w:t>
                  </w:r>
                </w:p>
              </w:tc>
            </w:tr>
            <w:tr w14:paraId="23594D13">
              <w:tblPrEx>
                <w:tblBorders>
                  <w:top w:val="none" w:color="000000" w:sz="4" w:space="0"/>
                  <w:left w:val="none" w:color="000000" w:sz="4" w:space="0"/>
                  <w:bottom w:val="none" w:color="000000" w:sz="4" w:space="0"/>
                  <w:right w:val="none" w:color="000000" w:sz="4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36" w:hRule="atLeast"/>
              </w:trPr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top"/>
                </w:tcPr>
                <w:p w14:paraId="5DB09C65">
                  <w:pPr>
                    <w:pStyle w:val="5"/>
                    <w:jc w:val="both"/>
                    <w:rPr>
                      <w:rFonts w:hint="default" w:ascii="仿宋_GB2312" w:hAnsi="仿宋_GB2312" w:eastAsia="仿宋_GB2312" w:cs="仿宋_GB2312"/>
                      <w:lang w:val="en-US" w:eastAsia="zh-CN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lang w:val="en-US" w:eastAsia="zh-CN"/>
                    </w:rPr>
                    <w:t>13</w:t>
                  </w: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top"/>
                </w:tcPr>
                <w:p w14:paraId="52B248E6">
                  <w:pPr>
                    <w:pStyle w:val="5"/>
                    <w:jc w:val="both"/>
                    <w:rPr>
                      <w:rFonts w:hint="eastAsia" w:ascii="仿宋_GB2312" w:hAnsi="仿宋_GB2312" w:eastAsia="仿宋_GB2312" w:cs="仿宋_GB2312"/>
                      <w:lang w:val="en-US" w:eastAsia="zh-CN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lang w:val="en-US" w:eastAsia="zh-CN"/>
                    </w:rPr>
                    <w:t>万能试验机配套工作场所改造</w:t>
                  </w:r>
                </w:p>
              </w:tc>
              <w:tc>
                <w:tcPr>
                  <w:tcW w:w="0" w:type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auto" w:sz="4" w:space="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center"/>
                </w:tcPr>
                <w:p w14:paraId="6A638515">
                  <w:pPr>
                    <w:pStyle w:val="5"/>
                    <w:jc w:val="center"/>
                    <w:rPr>
                      <w:rFonts w:hint="default"/>
                      <w:lang w:val="en-US" w:eastAsia="zh-CN"/>
                    </w:rPr>
                  </w:pPr>
                  <w:r>
                    <w:rPr>
                      <w:rFonts w:hint="eastAsia"/>
                      <w:lang w:val="en-US" w:eastAsia="zh-CN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center"/>
                </w:tcPr>
                <w:p w14:paraId="6385B1D9">
                  <w:pPr>
                    <w:pStyle w:val="5"/>
                    <w:jc w:val="center"/>
                  </w:pPr>
                </w:p>
              </w:tc>
              <w:tc>
                <w:tcPr>
                  <w:tcW w:w="0" w:type="auto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top"/>
                </w:tcPr>
                <w:p w14:paraId="0DA2A257">
                  <w:pPr>
                    <w:pStyle w:val="5"/>
                    <w:rPr>
                      <w:rFonts w:hint="eastAsia" w:ascii="仿宋_GB2312" w:hAnsi="仿宋_GB2312" w:eastAsia="仿宋_GB2312" w:cs="仿宋_GB2312"/>
                      <w:lang w:val="en-US" w:eastAsia="zh-CN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lang w:val="en-US" w:eastAsia="zh-CN"/>
                    </w:rPr>
                    <w:t>满足万能试验机安装的场所改造（面积约30平方），主要包括设备基座加固改造、围墙封口及墙面粉刷、设备电源线路改造、装配不低于3P的立式空调等内容。</w:t>
                  </w:r>
                </w:p>
              </w:tc>
            </w:tr>
          </w:tbl>
          <w:p w14:paraId="386F0FDA"/>
        </w:tc>
      </w:tr>
    </w:tbl>
    <w:p w14:paraId="3B06F988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24" w:lineRule="auto"/>
      </w:pPr>
      <w:r>
        <w:separator/>
      </w:r>
    </w:p>
  </w:footnote>
  <w:footnote w:type="continuationSeparator" w:id="1">
    <w:p>
      <w:pPr>
        <w:spacing w:line="324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C5D17BA"/>
    <w:rsid w:val="4F1D07BF"/>
    <w:rsid w:val="559E6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324" w:lineRule="auto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line="360" w:lineRule="auto"/>
      <w:outlineLvl w:val="1"/>
    </w:pPr>
    <w:rPr>
      <w:rFonts w:ascii="Arial" w:hAnsi="Arial"/>
      <w:b/>
      <w:bCs/>
      <w:sz w:val="24"/>
      <w:szCs w:val="32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">
    <w:name w:val="null3"/>
    <w:hidden/>
    <w:qFormat/>
    <w:uiPriority w:val="0"/>
    <w:rPr>
      <w:rFonts w:hint="eastAsia" w:asciiTheme="minorHAnsi" w:hAnsiTheme="minorHAnsi" w:eastAsiaTheme="minorEastAsia" w:cstheme="minorBidi"/>
      <w:lang w:val="en-US" w:eastAsia="zh-Hans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2025-10-30T08:19:11Z</dcterms:created>
  <dc:creator>83473</dc:creator>
  <cp:lastModifiedBy>MENGZH</cp:lastModifiedBy>
  <dcterms:modified xsi:type="dcterms:W3CDTF">2025-10-30T08:20:03Z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KSOTemplateDocerSaveRecord">
    <vt:lpwstr>eyJoZGlkIjoiMmZhMmI0MDMyYzlmYmE4MzJkZmRiNjllOWEzOGMzNTYiLCJ1c2VySWQiOiI2NjU5OTQxMzQifQ==</vt:lpwstr>
  </property>
  <property fmtid="{D5CDD505-2E9C-101B-9397-08002B2CF9AE}" pid="4" name="ICV">
    <vt:lpwstr>63CB7C10B774494298E36A37F8C11D9E_12</vt:lpwstr>
  </property>
</Properties>
</file>